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179</w:t>
      </w:r>
    </w:p>
    <w:p>
      <w:r>
        <w:t>Bundesgericht (BGE), 1990-09-14, DE</w:t>
      </w:r>
    </w:p>
    <w:p>
      <w:r>
        <w:rPr>
          <w:b/>
        </w:rPr>
        <w:t xml:space="preserve">Quelle: </w:t>
      </w:r>
      <w:r>
        <w:t>https://mcp.opencaselaw.ch/entscheid/bge_116 IV 179</w:t>
      </w:r>
    </w:p>
    <w:p>
      <w:r>
        <w:t>FR: ATF 116 IV 179</w:t>
      </w:r>
    </w:p>
    <w:p>
      <w:r>
        <w:t>IT: DTF 116 IV 179</w:t>
      </w:r>
    </w:p>
    <w:p>
      <w:pPr>
        <w:pStyle w:val="Heading2"/>
      </w:pPr>
      <w:r>
        <w:t>Regeste</w:t>
      </w:r>
    </w:p>
    <w:p>
      <w:r>
        <w:t>Regeste Art. 63 StGB; Beziehungen des Täters zum Opfer. Persönliche Beziehungen zwischen Täter und Opfer hat der Richter bei der Strafzumessung zu berücksichtigen. Ob sie geeignet sind, die Schuld des Täters zu erhöhen oder zu mindern, entscheidet sich nach den konkreten Umständen des Einzelfalls.</w:t>
      </w:r>
    </w:p>
    <w:p>
      <w:pPr>
        <w:pStyle w:val="Heading2"/>
      </w:pPr>
      <w:r>
        <w:t>Erwägungen</w:t>
      </w:r>
    </w:p>
    <w:p>
      <w:r>
        <w:rPr>
          <w:b/>
        </w:rPr>
        <w:t>E. 4</w:t>
      </w:r>
    </w:p>
    <w:p>
      <w:r>
        <w:t>a) Gemäss Art. 63 StGB misst der Richter die Strafe nach dem Verschulden des Täters zu; er berücksichtigt die Beweggründe, das Vorleben und die persönlichen Verhältnisse des Schuldigen. Abgesehen von diesem allgemeinen Grundsatz regelt das schweizerische Strafrecht nicht, welche konkreten Umstände dazu führen sollen, dass eine Strafe (innerhalb des ordentlichen Strafrahmens) höher oder niedriger auszufällen ist. Unbestritten ist, dass die Rolle des Opfers im Tatgeschehen geeignet ist, die Schuld des Täters entscheidend zu beeinflussen (BRUNS, Strafzumessungsrecht, 2. Aufl. Köln 1974, S. 407; vgl. HORN, Systematischer Kommentar zum Strafgesetzbuch, § 46 N. 100). Es kann beispielsweise von Bedeutung sein, ob das Opfer eine mehr aktive oder eher passive Rolle gespielt hat. Das StGB sieht in Art. 64 Abs. 2 StGB sogar ausdrücklich vor, dass die Strafe gemildert werden kann, wenn der Täter durch das Verhalten des Verletzten ernstlich in Versuchung geführt worden ist. Zu den Tatumständen, die der Richter bei der Strafzumessung berücksichtigen muss, wenn er die Tat in ihrer menschlichen Bedeutung verstehen will, gehören aber zweifellos auch die persönlichen Beziehungen zwischen Täter und Opfer (SCHULTZ, Kriminologische und strafrechtliche Bemerkungen zur Beziehung zwischen Täter und Opfer, ZStR 71/1956, S. 189; HORN, a.a.O., N. 101). Zu nennen sind beispielsweise nahe Verwandtschaft oder Freundschaft und ganz allgemein enge Kameradschafts- und Vertrauensverhältnisse. In der Regel wird bei solchen Beziehungen angenommen werden können, dass beim Täter eine besondere Hemmung bestand, dem Opfer eine Rechtsgutsverletzung zuzufügen; deren Überwindung deutet auf eine verwerfliche Gesinnung oder besondere Skrupellosigkeit hin und ist straferhöhend zu berücksichtigen. Die Täter-Opfer-Beziehung kann jedoch auch abgekühlt, gleichgültig, distanziert oder verfeindet sein, ja sogar zu einem deutlichen Abbau der Hemmungen führen. Ein extremes Beispiel dafür BGE 116 IV 179 S. 181 stellt der Täter dar, der seinen Vater tötet, nachdem dieser die ganze Familie über Jahre hinaus sadistisch gequält hat; die normalerweise im Vater-Sohn-Verhältnis vorhandenen und erwarteten besonderen Tötungshemmungen können in einem solchen Fall mehr oder weniger abgebaut sein (s. MANFRED MAECK, Opfer und Strafzumessung, Stuttgart 1983, S. 102/103), ja gänzlich fehlen. Der Umstand allein, dass das Opfer mit dem Täter verwandt oder bekannt ist, sagt folglich über die Höhe von dessen Verschulden noch nichts aus; entscheidend sind die konkreten Beziehungen im Einzelfall. b) Die Vorinstanz ging von einem schweren Verschulden aus, da der Beschwerdeführer hemmungslos vorgegangen sei; selbst vor der Bedrohung und Gefährdung seiner Mutter habe er nicht zurückgeschreckt. Obwohl dieser Umstand bei der Strafzumessung offenbar entscheidend zulasten des Beschwerdeführers ins Gewicht fiel, äussert sich die Vorinstanz zur konkreten Beziehung von Täter und Opfer nicht. Auf eine Rückweisung zur näheren Prüfung dieser Frage kann indessen verzichtet werden, weil sich aus den Akten klar ergibt, dass der Beschwerdeführer mit seinen Eltern ausgesprochen eng und herzlich verbunden ist. In seinem Lebenslauf vom 6. Mai 1989 beschreibt er u.a. die Zusammenarbeit mit seinen Eltern im Restaurant F. in Bern; es sei eine richtige Freude gewesen, mit ihnen dank der äusserst guten Beziehungen und des gegenseitigen Vertrauens zusammenzuarbeiten; seine Freizeit habe er fast immer mit seinen Eltern verbracht; die Beziehung zu seiner Familie sei herzlich und gut. Aus der Befragung vor Obergericht geht hervor, dass es dem Beschwerdeführer nach wie vor ein Rätsel ist, wie er auf die Idee kommen konnte, einen Raubüberfall auf seine Mutter vorzuschlagen, von der er im übrigen immer wieder Unterstützungsgelder erhalten hat. Bei dieser Sachlage hat die Vorinstanz kein Bundesrecht verletzt, wenn sie die Hemmungslosigkeit des Beschwerdeführers auch damit begründete, er sei selbst vor der Bedrohung und Gefährdung seiner Mutter nicht zurückgeschreckt.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